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8" w:type="dxa"/>
        <w:tblLayout w:type="fixed"/>
        <w:tblLook w:val="0000" w:firstRow="0" w:lastRow="0" w:firstColumn="0" w:lastColumn="0" w:noHBand="0" w:noVBand="0"/>
      </w:tblPr>
      <w:tblGrid>
        <w:gridCol w:w="5148"/>
        <w:gridCol w:w="1200"/>
        <w:gridCol w:w="2520"/>
      </w:tblGrid>
      <w:tr w:rsidR="00407241" w:rsidRPr="00407241" w:rsidTr="00BB5BDB">
        <w:trPr>
          <w:trHeight w:val="414"/>
        </w:trPr>
        <w:tc>
          <w:tcPr>
            <w:tcW w:w="5148" w:type="dxa"/>
          </w:tcPr>
          <w:p w:rsidR="00407241" w:rsidRPr="00407241" w:rsidRDefault="00407241" w:rsidP="00407241">
            <w:pPr>
              <w:spacing w:before="360" w:after="0" w:line="276" w:lineRule="auto"/>
              <w:rPr>
                <w:rFonts w:ascii="Arial" w:eastAsia="Times New Roman" w:hAnsi="Arial" w:cs="Times New Roman"/>
                <w:bCs/>
                <w:sz w:val="24"/>
                <w:szCs w:val="24"/>
              </w:rPr>
            </w:pPr>
            <w:bookmarkStart w:id="0" w:name="_GoBack"/>
            <w:bookmarkEnd w:id="0"/>
          </w:p>
        </w:tc>
        <w:tc>
          <w:tcPr>
            <w:tcW w:w="1200" w:type="dxa"/>
            <w:vAlign w:val="bottom"/>
          </w:tcPr>
          <w:p w:rsidR="00407241" w:rsidRPr="00407241" w:rsidRDefault="00407241" w:rsidP="00407241">
            <w:pPr>
              <w:spacing w:before="40" w:after="120" w:line="276" w:lineRule="auto"/>
              <w:ind w:right="132"/>
              <w:jc w:val="right"/>
              <w:rPr>
                <w:rFonts w:ascii="Arial" w:eastAsia="Times New Roman" w:hAnsi="Arial" w:cs="Times New Roman"/>
                <w:sz w:val="18"/>
                <w:szCs w:val="24"/>
              </w:rPr>
            </w:pPr>
          </w:p>
        </w:tc>
        <w:tc>
          <w:tcPr>
            <w:tcW w:w="2520" w:type="dxa"/>
            <w:vAlign w:val="bottom"/>
          </w:tcPr>
          <w:p w:rsidR="00407241" w:rsidRPr="00407241" w:rsidRDefault="00407241" w:rsidP="00407241">
            <w:pPr>
              <w:spacing w:before="40" w:after="120" w:line="276" w:lineRule="auto"/>
              <w:rPr>
                <w:rFonts w:ascii="Arial" w:eastAsia="Times New Roman" w:hAnsi="Arial" w:cs="Times New Roman"/>
                <w:sz w:val="18"/>
                <w:szCs w:val="24"/>
              </w:rPr>
            </w:pPr>
          </w:p>
        </w:tc>
      </w:tr>
      <w:tr w:rsidR="00407241" w:rsidRPr="00407241" w:rsidTr="00BB5BDB">
        <w:tc>
          <w:tcPr>
            <w:tcW w:w="5148" w:type="dxa"/>
          </w:tcPr>
          <w:p w:rsidR="00407241" w:rsidRPr="00407241" w:rsidRDefault="00407241" w:rsidP="00407241">
            <w:pPr>
              <w:spacing w:after="0" w:line="276" w:lineRule="auto"/>
              <w:rPr>
                <w:rFonts w:ascii="Trebuchet MS" w:eastAsia="Times New Roman" w:hAnsi="Trebuchet MS" w:cs="Times New Roman"/>
                <w:bCs/>
                <w:sz w:val="24"/>
                <w:szCs w:val="24"/>
              </w:rPr>
            </w:pPr>
          </w:p>
        </w:tc>
        <w:tc>
          <w:tcPr>
            <w:tcW w:w="1200" w:type="dxa"/>
            <w:vAlign w:val="bottom"/>
          </w:tcPr>
          <w:p w:rsidR="00407241" w:rsidRPr="00407241" w:rsidRDefault="00407241" w:rsidP="00407241">
            <w:pPr>
              <w:spacing w:before="40" w:after="120" w:line="276" w:lineRule="auto"/>
              <w:ind w:right="132"/>
              <w:jc w:val="right"/>
              <w:rPr>
                <w:rFonts w:ascii="Arial" w:eastAsia="Times New Roman" w:hAnsi="Arial" w:cs="Times New Roman"/>
                <w:sz w:val="18"/>
                <w:szCs w:val="24"/>
              </w:rPr>
            </w:pPr>
            <w:r w:rsidRPr="00407241">
              <w:rPr>
                <w:rFonts w:ascii="Arial" w:eastAsia="Times New Roman" w:hAnsi="Arial" w:cs="Times New Roman"/>
                <w:sz w:val="18"/>
                <w:szCs w:val="24"/>
              </w:rPr>
              <w:t>Our Ref:</w:t>
            </w:r>
          </w:p>
        </w:tc>
        <w:tc>
          <w:tcPr>
            <w:tcW w:w="2520" w:type="dxa"/>
            <w:vAlign w:val="bottom"/>
          </w:tcPr>
          <w:p w:rsidR="00407241" w:rsidRPr="00407241" w:rsidRDefault="00407241" w:rsidP="00407241">
            <w:pPr>
              <w:spacing w:before="40" w:after="120" w:line="276" w:lineRule="auto"/>
              <w:rPr>
                <w:rFonts w:ascii="Arial" w:eastAsia="Times New Roman" w:hAnsi="Arial" w:cs="Times New Roman"/>
                <w:sz w:val="18"/>
                <w:szCs w:val="24"/>
              </w:rPr>
            </w:pPr>
            <w:r w:rsidRPr="00407241">
              <w:rPr>
                <w:rFonts w:ascii="Arial" w:eastAsia="Times New Roman" w:hAnsi="Arial" w:cs="Times New Roman"/>
                <w:sz w:val="18"/>
                <w:szCs w:val="24"/>
              </w:rPr>
              <w:fldChar w:fldCharType="begin"/>
            </w:r>
            <w:r w:rsidRPr="00407241">
              <w:rPr>
                <w:rFonts w:ascii="Arial" w:eastAsia="Times New Roman" w:hAnsi="Arial" w:cs="Times New Roman"/>
                <w:sz w:val="18"/>
                <w:szCs w:val="24"/>
              </w:rPr>
              <w:instrText xml:space="preserve"> DOCPROPERTY  Objective-Id  \* MERGEFORMAT </w:instrText>
            </w:r>
            <w:r w:rsidRPr="00407241">
              <w:rPr>
                <w:rFonts w:ascii="Arial" w:eastAsia="Times New Roman" w:hAnsi="Arial" w:cs="Times New Roman"/>
                <w:sz w:val="18"/>
                <w:szCs w:val="24"/>
              </w:rPr>
              <w:fldChar w:fldCharType="separate"/>
            </w:r>
            <w:r w:rsidRPr="00407241">
              <w:rPr>
                <w:rFonts w:ascii="Arial" w:eastAsia="Times New Roman" w:hAnsi="Arial" w:cs="Times New Roman"/>
                <w:sz w:val="18"/>
                <w:szCs w:val="24"/>
              </w:rPr>
              <w:t>A27097496</w:t>
            </w:r>
            <w:r w:rsidRPr="00407241">
              <w:rPr>
                <w:rFonts w:ascii="Arial" w:eastAsia="Times New Roman" w:hAnsi="Arial" w:cs="Times New Roman"/>
                <w:sz w:val="18"/>
                <w:szCs w:val="24"/>
              </w:rPr>
              <w:fldChar w:fldCharType="end"/>
            </w:r>
          </w:p>
        </w:tc>
      </w:tr>
      <w:tr w:rsidR="00407241" w:rsidRPr="00407241" w:rsidTr="00BB5BDB">
        <w:trPr>
          <w:trHeight w:val="61"/>
        </w:trPr>
        <w:tc>
          <w:tcPr>
            <w:tcW w:w="5148" w:type="dxa"/>
            <w:vAlign w:val="center"/>
          </w:tcPr>
          <w:p w:rsidR="00407241" w:rsidRPr="00407241" w:rsidRDefault="00407241" w:rsidP="00407241">
            <w:pPr>
              <w:spacing w:after="0" w:line="276" w:lineRule="auto"/>
              <w:rPr>
                <w:rFonts w:ascii="Arial" w:eastAsia="Times New Roman" w:hAnsi="Arial" w:cs="Times New Roman"/>
              </w:rPr>
            </w:pPr>
            <w:r w:rsidRPr="00407241">
              <w:rPr>
                <w:rFonts w:ascii="Arial" w:eastAsia="Times New Roman" w:hAnsi="Arial" w:cs="Times New Roman"/>
                <w:szCs w:val="24"/>
              </w:rPr>
              <w:t xml:space="preserve">16 May 2019 </w:t>
            </w:r>
          </w:p>
        </w:tc>
        <w:tc>
          <w:tcPr>
            <w:tcW w:w="1200" w:type="dxa"/>
            <w:vAlign w:val="bottom"/>
          </w:tcPr>
          <w:p w:rsidR="00407241" w:rsidRPr="00407241" w:rsidRDefault="00407241" w:rsidP="00407241">
            <w:pPr>
              <w:spacing w:before="40" w:after="120" w:line="276" w:lineRule="auto"/>
              <w:ind w:right="132"/>
              <w:jc w:val="right"/>
              <w:rPr>
                <w:rFonts w:ascii="Arial" w:eastAsia="Times New Roman" w:hAnsi="Arial" w:cs="Times New Roman"/>
                <w:sz w:val="18"/>
                <w:szCs w:val="24"/>
              </w:rPr>
            </w:pPr>
            <w:r w:rsidRPr="00407241">
              <w:rPr>
                <w:rFonts w:ascii="Arial" w:eastAsia="Times New Roman" w:hAnsi="Arial" w:cs="Times New Roman"/>
                <w:sz w:val="18"/>
                <w:szCs w:val="24"/>
              </w:rPr>
              <w:t>Enquiries:</w:t>
            </w:r>
          </w:p>
        </w:tc>
        <w:tc>
          <w:tcPr>
            <w:tcW w:w="2520" w:type="dxa"/>
            <w:vAlign w:val="bottom"/>
          </w:tcPr>
          <w:p w:rsidR="00407241" w:rsidRPr="00407241" w:rsidRDefault="00407241" w:rsidP="00407241">
            <w:pPr>
              <w:spacing w:before="40" w:after="120" w:line="276" w:lineRule="auto"/>
              <w:rPr>
                <w:rFonts w:ascii="Arial" w:eastAsia="Times New Roman" w:hAnsi="Arial" w:cs="Times New Roman"/>
                <w:sz w:val="18"/>
                <w:szCs w:val="24"/>
              </w:rPr>
            </w:pPr>
            <w:r w:rsidRPr="00407241">
              <w:rPr>
                <w:rFonts w:ascii="Arial" w:eastAsia="Times New Roman" w:hAnsi="Arial" w:cs="Times New Roman"/>
                <w:sz w:val="18"/>
                <w:szCs w:val="24"/>
              </w:rPr>
              <w:t>Catherine Thomson                   (08) 6552 9237</w:t>
            </w:r>
          </w:p>
        </w:tc>
      </w:tr>
    </w:tbl>
    <w:p w:rsidR="00407241" w:rsidRPr="00407241" w:rsidRDefault="00407241" w:rsidP="00407241">
      <w:pPr>
        <w:spacing w:after="0" w:line="276" w:lineRule="auto"/>
        <w:rPr>
          <w:rFonts w:ascii="Arial" w:eastAsia="Times New Roman" w:hAnsi="Arial" w:cs="Times New Roman"/>
          <w:sz w:val="24"/>
          <w:szCs w:val="24"/>
        </w:rPr>
      </w:pPr>
    </w:p>
    <w:tbl>
      <w:tblPr>
        <w:tblpPr w:leftFromText="181" w:rightFromText="181" w:vertAnchor="text" w:horzAnchor="margin" w:tblpY="194"/>
        <w:tblOverlap w:val="never"/>
        <w:tblW w:w="0" w:type="auto"/>
        <w:tblLayout w:type="fixed"/>
        <w:tblLook w:val="0000" w:firstRow="0" w:lastRow="0" w:firstColumn="0" w:lastColumn="0" w:noHBand="0" w:noVBand="0"/>
      </w:tblPr>
      <w:tblGrid>
        <w:gridCol w:w="8330"/>
        <w:gridCol w:w="538"/>
      </w:tblGrid>
      <w:tr w:rsidR="00407241" w:rsidRPr="00407241" w:rsidTr="00BB5BDB">
        <w:trPr>
          <w:trHeight w:val="1587"/>
        </w:trPr>
        <w:tc>
          <w:tcPr>
            <w:tcW w:w="8330" w:type="dxa"/>
          </w:tcPr>
          <w:p w:rsidR="00407241" w:rsidRDefault="00700D0D" w:rsidP="00407241">
            <w:pPr>
              <w:spacing w:after="0" w:line="240" w:lineRule="auto"/>
              <w:rPr>
                <w:rFonts w:ascii="Arial" w:eastAsia="Times New Roman" w:hAnsi="Arial" w:cs="Times New Roman"/>
                <w:szCs w:val="24"/>
              </w:rPr>
            </w:pPr>
            <w:r>
              <w:rPr>
                <w:rFonts w:ascii="Arial" w:eastAsia="Times New Roman" w:hAnsi="Arial" w:cs="Times New Roman"/>
                <w:szCs w:val="24"/>
              </w:rPr>
              <w:t xml:space="preserve">To whom it may concern </w:t>
            </w:r>
          </w:p>
          <w:p w:rsidR="00407241" w:rsidRPr="00407241" w:rsidRDefault="00C82EEA" w:rsidP="00407241">
            <w:pPr>
              <w:spacing w:after="0" w:line="240" w:lineRule="auto"/>
              <w:rPr>
                <w:rFonts w:ascii="Arial" w:eastAsia="Times New Roman" w:hAnsi="Arial" w:cs="Times New Roman"/>
                <w:szCs w:val="24"/>
              </w:rPr>
            </w:pPr>
            <w:r>
              <w:rPr>
                <w:rFonts w:ascii="Arial" w:eastAsia="Times New Roman" w:hAnsi="Arial" w:cs="Times New Roman"/>
                <w:szCs w:val="24"/>
              </w:rPr>
              <w:t>Balingup Progress Association</w:t>
            </w:r>
          </w:p>
          <w:p w:rsidR="00407241" w:rsidRPr="00407241" w:rsidRDefault="00407241" w:rsidP="000F48E5">
            <w:pPr>
              <w:spacing w:after="0" w:line="240" w:lineRule="auto"/>
              <w:rPr>
                <w:rFonts w:ascii="Arial" w:eastAsia="Times New Roman" w:hAnsi="Arial" w:cs="Times New Roman"/>
                <w:szCs w:val="24"/>
              </w:rPr>
            </w:pPr>
          </w:p>
        </w:tc>
        <w:tc>
          <w:tcPr>
            <w:tcW w:w="538" w:type="dxa"/>
          </w:tcPr>
          <w:p w:rsidR="00407241" w:rsidRPr="00407241" w:rsidRDefault="00407241" w:rsidP="00407241">
            <w:pPr>
              <w:spacing w:after="0" w:line="276" w:lineRule="auto"/>
              <w:ind w:left="510"/>
              <w:rPr>
                <w:rFonts w:ascii="Arial" w:eastAsia="Times New Roman" w:hAnsi="Arial" w:cs="Times New Roman"/>
                <w:sz w:val="24"/>
                <w:szCs w:val="24"/>
              </w:rPr>
            </w:pPr>
          </w:p>
          <w:p w:rsidR="00407241" w:rsidRPr="00407241" w:rsidRDefault="00407241" w:rsidP="00407241">
            <w:pPr>
              <w:spacing w:after="0" w:line="276" w:lineRule="auto"/>
              <w:ind w:left="510"/>
              <w:rPr>
                <w:rFonts w:ascii="Arial" w:eastAsia="Times New Roman" w:hAnsi="Arial" w:cs="Times New Roman"/>
                <w:sz w:val="24"/>
                <w:szCs w:val="24"/>
              </w:rPr>
            </w:pPr>
          </w:p>
          <w:p w:rsidR="00407241" w:rsidRPr="00407241" w:rsidRDefault="00407241" w:rsidP="00407241">
            <w:pPr>
              <w:spacing w:after="0" w:line="276" w:lineRule="auto"/>
              <w:ind w:left="510"/>
              <w:rPr>
                <w:rFonts w:ascii="Arial" w:eastAsia="Times New Roman" w:hAnsi="Arial" w:cs="Times New Roman"/>
                <w:sz w:val="24"/>
                <w:szCs w:val="24"/>
              </w:rPr>
            </w:pPr>
          </w:p>
          <w:p w:rsidR="00407241" w:rsidRPr="00407241" w:rsidRDefault="00407241" w:rsidP="00407241">
            <w:pPr>
              <w:spacing w:after="0" w:line="276" w:lineRule="auto"/>
              <w:ind w:left="510"/>
              <w:rPr>
                <w:rFonts w:ascii="Arial" w:eastAsia="Times New Roman" w:hAnsi="Arial" w:cs="Times New Roman"/>
                <w:sz w:val="24"/>
                <w:szCs w:val="24"/>
              </w:rPr>
            </w:pPr>
          </w:p>
          <w:p w:rsidR="00407241" w:rsidRPr="00407241" w:rsidRDefault="00407241" w:rsidP="00407241">
            <w:pPr>
              <w:spacing w:after="0" w:line="276" w:lineRule="auto"/>
              <w:ind w:left="510"/>
              <w:rPr>
                <w:rFonts w:ascii="Arial" w:eastAsia="Times New Roman" w:hAnsi="Arial" w:cs="Times New Roman"/>
                <w:sz w:val="24"/>
                <w:szCs w:val="24"/>
              </w:rPr>
            </w:pPr>
          </w:p>
          <w:p w:rsidR="00407241" w:rsidRPr="00407241" w:rsidRDefault="00407241" w:rsidP="00407241">
            <w:pPr>
              <w:spacing w:after="0" w:line="276" w:lineRule="auto"/>
              <w:ind w:left="510"/>
              <w:rPr>
                <w:rFonts w:ascii="Arial" w:eastAsia="Times New Roman" w:hAnsi="Arial" w:cs="Times New Roman"/>
                <w:sz w:val="24"/>
                <w:szCs w:val="24"/>
              </w:rPr>
            </w:pPr>
          </w:p>
          <w:p w:rsidR="00407241" w:rsidRPr="00407241" w:rsidRDefault="00407241" w:rsidP="00407241">
            <w:pPr>
              <w:spacing w:after="0" w:line="276" w:lineRule="auto"/>
              <w:ind w:left="510"/>
              <w:rPr>
                <w:rFonts w:ascii="Arial" w:eastAsia="Times New Roman" w:hAnsi="Arial" w:cs="Times New Roman"/>
                <w:sz w:val="24"/>
                <w:szCs w:val="24"/>
              </w:rPr>
            </w:pPr>
          </w:p>
        </w:tc>
      </w:tr>
    </w:tbl>
    <w:p w:rsidR="00407241" w:rsidRPr="00407241" w:rsidRDefault="00700D0D" w:rsidP="00407241">
      <w:pPr>
        <w:spacing w:after="0" w:line="240" w:lineRule="auto"/>
        <w:rPr>
          <w:rFonts w:ascii="Arial" w:eastAsia="Times New Roman" w:hAnsi="Arial" w:cs="Times New Roman"/>
          <w:szCs w:val="24"/>
        </w:rPr>
      </w:pPr>
      <w:r>
        <w:rPr>
          <w:rFonts w:ascii="Arial" w:eastAsia="Times New Roman" w:hAnsi="Arial" w:cs="Times New Roman"/>
          <w:szCs w:val="24"/>
        </w:rPr>
        <w:t>To whom it may concern</w:t>
      </w:r>
    </w:p>
    <w:p w:rsidR="00407241" w:rsidRPr="00407241" w:rsidRDefault="00407241" w:rsidP="00407241">
      <w:pPr>
        <w:spacing w:before="240" w:after="240" w:line="240" w:lineRule="auto"/>
        <w:jc w:val="both"/>
        <w:rPr>
          <w:rFonts w:ascii="Arial" w:eastAsia="Times New Roman" w:hAnsi="Arial" w:cs="Times New Roman"/>
          <w:b/>
          <w:szCs w:val="24"/>
        </w:rPr>
      </w:pPr>
      <w:r w:rsidRPr="00407241">
        <w:rPr>
          <w:rFonts w:ascii="Arial" w:eastAsia="Times New Roman" w:hAnsi="Arial" w:cs="Times New Roman"/>
          <w:b/>
          <w:szCs w:val="24"/>
        </w:rPr>
        <w:t>PRODUCT SAFETY – AUSTRALIAN CONSUMER LAW</w:t>
      </w:r>
    </w:p>
    <w:p w:rsidR="00407241" w:rsidRPr="00407241" w:rsidRDefault="00407241" w:rsidP="00407241">
      <w:pPr>
        <w:spacing w:after="0" w:line="240" w:lineRule="auto"/>
        <w:jc w:val="both"/>
        <w:rPr>
          <w:rFonts w:ascii="Arial" w:eastAsia="Times New Roman" w:hAnsi="Arial" w:cs="Times New Roman"/>
          <w:bCs/>
        </w:rPr>
      </w:pPr>
      <w:r w:rsidRPr="00407241">
        <w:rPr>
          <w:rFonts w:ascii="Arial" w:eastAsia="Times New Roman" w:hAnsi="Arial" w:cs="Times New Roman"/>
          <w:bCs/>
        </w:rPr>
        <w:t xml:space="preserve">As you may be aware, the Department of Mines, Industry Regulation and Safety, the Consumer Protection Division (Consumer Protection) is the statutory authority responsible for ensuring compliance with the Australian Consumer Law (WA) (the ACL). </w:t>
      </w:r>
    </w:p>
    <w:p w:rsidR="00407241" w:rsidRPr="00407241" w:rsidRDefault="00407241" w:rsidP="00407241">
      <w:pPr>
        <w:spacing w:after="0" w:line="240" w:lineRule="auto"/>
        <w:jc w:val="both"/>
        <w:rPr>
          <w:rFonts w:ascii="Arial" w:eastAsia="Times New Roman" w:hAnsi="Arial" w:cs="Times New Roman"/>
          <w:bCs/>
        </w:rPr>
      </w:pPr>
    </w:p>
    <w:p w:rsidR="00407241" w:rsidRPr="00407241" w:rsidRDefault="00407241" w:rsidP="00407241">
      <w:pPr>
        <w:spacing w:after="0" w:line="240" w:lineRule="auto"/>
        <w:jc w:val="both"/>
        <w:rPr>
          <w:rFonts w:ascii="Arial" w:eastAsia="Times New Roman" w:hAnsi="Arial" w:cs="Times New Roman"/>
          <w:b/>
          <w:bCs/>
        </w:rPr>
      </w:pPr>
      <w:r w:rsidRPr="00407241">
        <w:rPr>
          <w:rFonts w:ascii="Arial" w:eastAsia="Times New Roman" w:hAnsi="Arial" w:cs="Times New Roman"/>
          <w:b/>
          <w:bCs/>
        </w:rPr>
        <w:t>BACKGROUND</w:t>
      </w:r>
    </w:p>
    <w:p w:rsidR="00407241" w:rsidRPr="00407241" w:rsidRDefault="00407241" w:rsidP="00407241">
      <w:pPr>
        <w:spacing w:after="0" w:line="240" w:lineRule="auto"/>
        <w:jc w:val="both"/>
        <w:rPr>
          <w:rFonts w:ascii="Arial" w:eastAsia="Times New Roman" w:hAnsi="Arial" w:cs="Times New Roman"/>
          <w:bCs/>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For more than a decade, Consumer Protection has worked actively with the Royal Agricultural Society of Western Australia (RASWA) to ensure that items supplied in show bags and by stallholders comply with the safety requirements of the ACL and do not pose a potential hazard to children.</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084AE7"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You may have seen the recent media concerning a young child who suffered </w:t>
      </w:r>
      <w:r w:rsidR="00407241" w:rsidRPr="00407241">
        <w:rPr>
          <w:rFonts w:ascii="Arial" w:eastAsia="Times New Roman" w:hAnsi="Arial" w:cs="Times New Roman"/>
        </w:rPr>
        <w:t>a severe eye injury at the Harvey Show as a result of a gel gun being misused by another child.</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Whilst the Western Australian Police are investigating the supply of a firearm as a result of this, Consumer Protection would like to take this opportunity to </w:t>
      </w:r>
      <w:r w:rsidRPr="00407241">
        <w:rPr>
          <w:rFonts w:ascii="Arial" w:eastAsia="Times New Roman" w:hAnsi="Arial" w:cs="Times New Roman"/>
          <w:szCs w:val="24"/>
        </w:rPr>
        <w:t>engage with agricultural societies and provide support and assistance to reduce the likelihood of potential hazardous goods being supplied, either in show bags or by stallholders.</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b/>
          <w:bCs/>
        </w:rPr>
      </w:pPr>
      <w:r w:rsidRPr="00407241">
        <w:rPr>
          <w:rFonts w:ascii="Arial" w:eastAsia="Times New Roman" w:hAnsi="Arial" w:cs="Times New Roman"/>
          <w:b/>
          <w:bCs/>
        </w:rPr>
        <w:t>INFORMATION FOR SUPPLIERS/STALLHOLDERS</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Under the ACL, a single national approach to implementing mandatory safety standards and bans for consumer goods was developed. </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sz w:val="24"/>
          <w:szCs w:val="24"/>
        </w:rPr>
      </w:pPr>
      <w:r w:rsidRPr="00407241">
        <w:rPr>
          <w:rFonts w:ascii="Arial" w:eastAsia="Times New Roman" w:hAnsi="Arial" w:cs="Times New Roman"/>
        </w:rPr>
        <w:t>The goods affected by these standards and bans can be viewed at the Product Safety Australia website (</w:t>
      </w:r>
      <w:hyperlink r:id="rId7" w:history="1">
        <w:r w:rsidRPr="00407241">
          <w:rPr>
            <w:rFonts w:ascii="Arial" w:eastAsia="Times New Roman" w:hAnsi="Arial" w:cs="Times New Roman"/>
          </w:rPr>
          <w:t>www.productsafety.gov.au</w:t>
        </w:r>
      </w:hyperlink>
      <w:r w:rsidRPr="00407241">
        <w:rPr>
          <w:rFonts w:ascii="Arial" w:eastAsia="Times New Roman" w:hAnsi="Arial" w:cs="Times New Roman"/>
        </w:rPr>
        <w:t xml:space="preserve">). </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lastRenderedPageBreak/>
        <w:t xml:space="preserve">In addition to these regulated items, Consumer Protection also wish to bring to your attention other items that may be available for sale, which may also pose a risk to consumers, including products that contain easily accessible </w:t>
      </w:r>
      <w:hyperlink r:id="rId8" w:history="1">
        <w:r w:rsidRPr="00407241">
          <w:rPr>
            <w:rFonts w:ascii="Arial" w:eastAsia="Times New Roman" w:hAnsi="Arial" w:cs="Times New Roman"/>
          </w:rPr>
          <w:t>button batteries</w:t>
        </w:r>
      </w:hyperlink>
      <w:r w:rsidRPr="00407241">
        <w:rPr>
          <w:rFonts w:ascii="Arial" w:eastAsia="Times New Roman" w:hAnsi="Arial" w:cs="Times New Roman"/>
        </w:rPr>
        <w:t>.</w:t>
      </w:r>
    </w:p>
    <w:p w:rsidR="00407241" w:rsidRPr="00407241" w:rsidRDefault="00407241" w:rsidP="00407241">
      <w:pPr>
        <w:spacing w:after="0" w:line="240" w:lineRule="auto"/>
        <w:ind w:left="720"/>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In addition to these requirements, the ACL details a number of obligations placed on businesses generally, which may apply to your stallholders. </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Stallholders </w:t>
      </w:r>
      <w:r w:rsidR="001C52D7">
        <w:rPr>
          <w:rFonts w:ascii="Arial" w:eastAsia="Times New Roman" w:hAnsi="Arial" w:cs="Times New Roman"/>
        </w:rPr>
        <w:t xml:space="preserve">and businesses operating at </w:t>
      </w:r>
      <w:r w:rsidR="00B85255">
        <w:rPr>
          <w:rFonts w:ascii="Arial" w:eastAsia="Times New Roman" w:hAnsi="Arial" w:cs="Times New Roman"/>
        </w:rPr>
        <w:t xml:space="preserve">the </w:t>
      </w:r>
      <w:r w:rsidR="00C82EEA">
        <w:rPr>
          <w:rFonts w:ascii="Arial" w:eastAsia="Times New Roman" w:hAnsi="Arial" w:cs="Times New Roman"/>
        </w:rPr>
        <w:t>Balingup Small Farm Field Day</w:t>
      </w:r>
      <w:r w:rsidR="001C52D7">
        <w:rPr>
          <w:rFonts w:ascii="Arial" w:eastAsia="Times New Roman" w:hAnsi="Arial" w:cs="Times New Roman"/>
        </w:rPr>
        <w:t xml:space="preserve"> </w:t>
      </w:r>
      <w:r w:rsidRPr="00407241">
        <w:rPr>
          <w:rFonts w:ascii="Arial" w:eastAsia="Times New Roman" w:hAnsi="Arial" w:cs="Times New Roman"/>
        </w:rPr>
        <w:t>are required to supply proof of transaction to consumers for any transaction valued at more than $75.</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Furthermore, should goods sold by stallholders develop a fault, the proof of transaction will enable consumers to return goods for remedy, as permitted by law.</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These requirements are detailed on Consumer Protection’s website (</w:t>
      </w:r>
      <w:hyperlink r:id="rId9" w:history="1">
        <w:r w:rsidRPr="00407241">
          <w:rPr>
            <w:rFonts w:ascii="Arial" w:eastAsia="Times New Roman" w:hAnsi="Arial" w:cs="Times New Roman"/>
          </w:rPr>
          <w:t>www.consumerprotection.wa.gov.au</w:t>
        </w:r>
      </w:hyperlink>
      <w:r w:rsidRPr="00407241">
        <w:rPr>
          <w:rFonts w:ascii="Arial" w:eastAsia="Times New Roman" w:hAnsi="Arial" w:cs="Times New Roman"/>
        </w:rPr>
        <w:t xml:space="preserve">). </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b/>
          <w:bCs/>
        </w:rPr>
      </w:pPr>
      <w:r w:rsidRPr="00407241">
        <w:rPr>
          <w:rFonts w:ascii="Arial" w:eastAsia="Times New Roman" w:hAnsi="Arial" w:cs="Times New Roman"/>
          <w:b/>
          <w:bCs/>
        </w:rPr>
        <w:t>Conclusion</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The following link to the Product Safety Guide for </w:t>
      </w:r>
      <w:r w:rsidR="001C52D7">
        <w:rPr>
          <w:rFonts w:ascii="Arial" w:eastAsia="Times New Roman" w:hAnsi="Arial" w:cs="Times New Roman"/>
        </w:rPr>
        <w:t>Business can be utilised</w:t>
      </w:r>
      <w:r w:rsidR="00C82EEA">
        <w:rPr>
          <w:rFonts w:ascii="Arial" w:eastAsia="Times New Roman" w:hAnsi="Arial" w:cs="Times New Roman"/>
        </w:rPr>
        <w:t xml:space="preserve"> by</w:t>
      </w:r>
      <w:r w:rsidR="001C52D7">
        <w:rPr>
          <w:rFonts w:ascii="Arial" w:eastAsia="Times New Roman" w:hAnsi="Arial" w:cs="Times New Roman"/>
        </w:rPr>
        <w:t xml:space="preserve"> </w:t>
      </w:r>
      <w:r w:rsidR="00B85255">
        <w:rPr>
          <w:rFonts w:ascii="Arial" w:eastAsia="Times New Roman" w:hAnsi="Arial" w:cs="Times New Roman"/>
        </w:rPr>
        <w:t xml:space="preserve">the </w:t>
      </w:r>
      <w:r w:rsidR="00C82EEA">
        <w:rPr>
          <w:rFonts w:ascii="Arial" w:eastAsia="Times New Roman" w:hAnsi="Arial" w:cs="Times New Roman"/>
        </w:rPr>
        <w:t>Balingup Small Farm Field Day</w:t>
      </w:r>
      <w:r w:rsidR="00B85255">
        <w:rPr>
          <w:rFonts w:ascii="Arial" w:eastAsia="Times New Roman" w:hAnsi="Arial" w:cs="Times New Roman"/>
        </w:rPr>
        <w:t xml:space="preserve"> </w:t>
      </w:r>
      <w:r w:rsidRPr="00407241">
        <w:rPr>
          <w:rFonts w:ascii="Arial" w:eastAsia="Times New Roman" w:hAnsi="Arial" w:cs="Times New Roman"/>
        </w:rPr>
        <w:t>and disseminated to stallholders to ensure that items sold at the shows are compliant with product safety regulations and other provisions of the ACL that may be applicable.</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010BEE" w:rsidP="00407241">
      <w:pPr>
        <w:spacing w:after="0" w:line="240" w:lineRule="auto"/>
        <w:ind w:left="567"/>
        <w:jc w:val="both"/>
        <w:rPr>
          <w:rFonts w:ascii="Arial" w:eastAsia="Times New Roman" w:hAnsi="Arial" w:cs="Times New Roman"/>
        </w:rPr>
      </w:pPr>
      <w:hyperlink r:id="rId10" w:history="1">
        <w:r w:rsidR="00407241" w:rsidRPr="00407241">
          <w:rPr>
            <w:rFonts w:ascii="Arial" w:eastAsia="Times New Roman" w:hAnsi="Arial" w:cs="Times New Roman"/>
            <w:color w:val="0000FF"/>
            <w:u w:val="single"/>
          </w:rPr>
          <w:t>www.productsafety.gov.au/content/index.phtml/itemId/996539</w:t>
        </w:r>
      </w:hyperlink>
      <w:r w:rsidR="00407241" w:rsidRPr="00407241">
        <w:rPr>
          <w:rFonts w:ascii="Arial" w:eastAsia="Times New Roman" w:hAnsi="Arial" w:cs="Times New Roman"/>
        </w:rPr>
        <w:t xml:space="preserve"> </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This information has also been forwarded to the Local Council in your region for their perusal.</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Officers from Consumer Protection will be attending Agricultural Shows in the future to inspect regulated items however due to the considerable number of Shows this may take some time to accomplish and we may not be able to inspect every bag or all stallholders.</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Therefore, Consumer Protection seeks the assistance of </w:t>
      </w:r>
      <w:r w:rsidR="00700D0D">
        <w:rPr>
          <w:rFonts w:ascii="Arial" w:eastAsia="Times New Roman" w:hAnsi="Arial" w:cs="Times New Roman"/>
        </w:rPr>
        <w:t xml:space="preserve">the </w:t>
      </w:r>
      <w:r w:rsidR="00C82EEA">
        <w:rPr>
          <w:rFonts w:ascii="Arial" w:eastAsia="Times New Roman" w:hAnsi="Arial" w:cs="Times New Roman"/>
        </w:rPr>
        <w:t xml:space="preserve">Balingup Progress Association </w:t>
      </w:r>
      <w:r w:rsidRPr="00407241">
        <w:rPr>
          <w:rFonts w:ascii="Arial" w:eastAsia="Times New Roman" w:hAnsi="Arial" w:cs="Times New Roman"/>
        </w:rPr>
        <w:t xml:space="preserve">in ensuring that items supplied at </w:t>
      </w:r>
      <w:r w:rsidR="00B85255">
        <w:rPr>
          <w:rFonts w:ascii="Arial" w:eastAsia="Times New Roman" w:hAnsi="Arial" w:cs="Times New Roman"/>
        </w:rPr>
        <w:t xml:space="preserve">the </w:t>
      </w:r>
      <w:r w:rsidR="00C82EEA">
        <w:rPr>
          <w:rFonts w:ascii="Arial" w:eastAsia="Times New Roman" w:hAnsi="Arial" w:cs="Times New Roman"/>
        </w:rPr>
        <w:t>Balingup Small Farm Field Day</w:t>
      </w:r>
      <w:r w:rsidR="00B85255">
        <w:rPr>
          <w:rFonts w:ascii="Arial" w:eastAsia="Times New Roman" w:hAnsi="Arial" w:cs="Times New Roman"/>
        </w:rPr>
        <w:t xml:space="preserve"> </w:t>
      </w:r>
      <w:r w:rsidRPr="00407241">
        <w:rPr>
          <w:rFonts w:ascii="Arial" w:eastAsia="Times New Roman" w:hAnsi="Arial" w:cs="Times New Roman"/>
        </w:rPr>
        <w:t>are not unsafe.</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rPr>
      </w:pPr>
      <w:r w:rsidRPr="00407241">
        <w:rPr>
          <w:rFonts w:ascii="Arial" w:eastAsia="Times New Roman" w:hAnsi="Arial" w:cs="Times New Roman"/>
        </w:rPr>
        <w:t xml:space="preserve">Should you or your stallholders identify any show bag item or other goods available at </w:t>
      </w:r>
      <w:r w:rsidR="00B85255">
        <w:rPr>
          <w:rFonts w:ascii="Arial" w:eastAsia="Times New Roman" w:hAnsi="Arial" w:cs="Times New Roman"/>
        </w:rPr>
        <w:t xml:space="preserve">the </w:t>
      </w:r>
      <w:r w:rsidR="00C82EEA">
        <w:rPr>
          <w:rFonts w:ascii="Arial" w:eastAsia="Times New Roman" w:hAnsi="Arial" w:cs="Times New Roman"/>
        </w:rPr>
        <w:t>Balingup Small Farm Field Day</w:t>
      </w:r>
      <w:r w:rsidR="000F48E5">
        <w:rPr>
          <w:rFonts w:ascii="Arial" w:eastAsia="Times New Roman" w:hAnsi="Arial" w:cs="Times New Roman"/>
        </w:rPr>
        <w:t xml:space="preserve"> </w:t>
      </w:r>
      <w:r w:rsidRPr="00407241">
        <w:rPr>
          <w:rFonts w:ascii="Arial" w:eastAsia="Times New Roman" w:hAnsi="Arial" w:cs="Times New Roman"/>
        </w:rPr>
        <w:t>that are of concern, we encourage you or the stallholder to contact Consumer Protection directly to seek clarification.  Consumer Protection may seek a sample product at this time for inspection.</w:t>
      </w:r>
    </w:p>
    <w:p w:rsidR="00407241" w:rsidRPr="00407241" w:rsidRDefault="00407241" w:rsidP="00407241">
      <w:pPr>
        <w:spacing w:after="0" w:line="240" w:lineRule="auto"/>
        <w:jc w:val="both"/>
        <w:rPr>
          <w:rFonts w:ascii="Arial" w:eastAsia="Times New Roman" w:hAnsi="Arial" w:cs="Times New Roman"/>
        </w:rPr>
      </w:pPr>
    </w:p>
    <w:p w:rsidR="00407241" w:rsidRPr="00407241" w:rsidRDefault="00407241" w:rsidP="00407241">
      <w:pPr>
        <w:spacing w:after="0" w:line="240" w:lineRule="auto"/>
        <w:jc w:val="both"/>
        <w:rPr>
          <w:rFonts w:ascii="Arial" w:eastAsia="Times New Roman" w:hAnsi="Arial" w:cs="Times New Roman"/>
          <w:lang w:val="en-US"/>
        </w:rPr>
      </w:pPr>
      <w:r w:rsidRPr="00407241">
        <w:rPr>
          <w:rFonts w:ascii="Arial" w:eastAsia="Times New Roman" w:hAnsi="Arial" w:cs="Times New Roman"/>
        </w:rPr>
        <w:t xml:space="preserve">Thank you for your anticipated cooperation and </w:t>
      </w:r>
      <w:r w:rsidRPr="00407241">
        <w:rPr>
          <w:rFonts w:ascii="Arial" w:eastAsia="Times New Roman" w:hAnsi="Arial" w:cs="Times New Roman"/>
          <w:lang w:val="en-US"/>
        </w:rPr>
        <w:t>should you have any specific queries with regard to the information contained within, please do not hesitate to contact Consumer Protection on 1300 30 40 54 or visit the Product Safety Australia website.</w:t>
      </w:r>
    </w:p>
    <w:p w:rsidR="00407241" w:rsidRPr="00407241" w:rsidRDefault="00407241" w:rsidP="00407241">
      <w:pPr>
        <w:spacing w:after="0" w:line="276" w:lineRule="auto"/>
        <w:jc w:val="both"/>
        <w:rPr>
          <w:rFonts w:ascii="Arial" w:eastAsia="Times New Roman" w:hAnsi="Arial" w:cs="Times New Roman"/>
          <w:sz w:val="24"/>
          <w:szCs w:val="24"/>
        </w:rPr>
      </w:pPr>
    </w:p>
    <w:p w:rsidR="0058247A" w:rsidRDefault="003F70ED" w:rsidP="0058247A">
      <w:pPr>
        <w:spacing w:after="0" w:line="240" w:lineRule="auto"/>
        <w:jc w:val="both"/>
        <w:rPr>
          <w:rFonts w:ascii="Arial" w:eastAsia="Times New Roman" w:hAnsi="Arial" w:cs="Times New Roman"/>
          <w:szCs w:val="24"/>
        </w:rPr>
      </w:pPr>
      <w:r>
        <w:rPr>
          <w:rFonts w:ascii="Arial" w:eastAsia="Times New Roman" w:hAnsi="Arial" w:cs="Times New Roman"/>
          <w:szCs w:val="24"/>
        </w:rPr>
        <w:t>Yours sincerely</w:t>
      </w:r>
    </w:p>
    <w:p w:rsidR="0058247A" w:rsidRDefault="003F70ED" w:rsidP="0058247A">
      <w:pPr>
        <w:spacing w:after="0" w:line="240" w:lineRule="auto"/>
        <w:jc w:val="both"/>
        <w:rPr>
          <w:rFonts w:ascii="Arial" w:eastAsia="Times New Roman" w:hAnsi="Arial" w:cs="Times New Roman"/>
          <w:szCs w:val="24"/>
        </w:rPr>
      </w:pPr>
      <w:r>
        <w:rPr>
          <w:rFonts w:ascii="Arial" w:hAnsi="Arial" w:cs="Arial"/>
          <w:noProof/>
          <w:lang w:val="en-US"/>
        </w:rPr>
        <w:drawing>
          <wp:inline distT="0" distB="0" distL="0" distR="0">
            <wp:extent cx="904875" cy="442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281" cy="446632"/>
                    </a:xfrm>
                    <a:prstGeom prst="rect">
                      <a:avLst/>
                    </a:prstGeom>
                    <a:noFill/>
                    <a:ln>
                      <a:noFill/>
                    </a:ln>
                  </pic:spPr>
                </pic:pic>
              </a:graphicData>
            </a:graphic>
          </wp:inline>
        </w:drawing>
      </w:r>
    </w:p>
    <w:p w:rsidR="0058247A" w:rsidRDefault="0058247A" w:rsidP="0058247A">
      <w:pPr>
        <w:spacing w:after="0" w:line="240" w:lineRule="auto"/>
        <w:jc w:val="both"/>
        <w:rPr>
          <w:rFonts w:ascii="Arial" w:eastAsia="Times New Roman" w:hAnsi="Arial" w:cs="Times New Roman"/>
          <w:szCs w:val="24"/>
        </w:rPr>
      </w:pPr>
    </w:p>
    <w:p w:rsidR="00407241" w:rsidRPr="00407241" w:rsidRDefault="00407241" w:rsidP="0058247A">
      <w:pPr>
        <w:spacing w:after="0" w:line="240" w:lineRule="auto"/>
        <w:jc w:val="both"/>
        <w:rPr>
          <w:rFonts w:ascii="Arial" w:eastAsia="Times New Roman" w:hAnsi="Arial" w:cs="Times New Roman"/>
          <w:bCs/>
          <w:szCs w:val="24"/>
        </w:rPr>
      </w:pPr>
      <w:r w:rsidRPr="00407241">
        <w:rPr>
          <w:rFonts w:ascii="Arial" w:eastAsia="Times New Roman" w:hAnsi="Arial" w:cs="Times New Roman"/>
          <w:bCs/>
          <w:szCs w:val="24"/>
        </w:rPr>
        <w:t xml:space="preserve">David </w:t>
      </w:r>
      <w:proofErr w:type="spellStart"/>
      <w:r w:rsidRPr="00407241">
        <w:rPr>
          <w:rFonts w:ascii="Arial" w:eastAsia="Times New Roman" w:hAnsi="Arial" w:cs="Times New Roman"/>
          <w:bCs/>
          <w:szCs w:val="24"/>
        </w:rPr>
        <w:t>Hillyard</w:t>
      </w:r>
      <w:proofErr w:type="spellEnd"/>
    </w:p>
    <w:p w:rsidR="001B044F" w:rsidRPr="007422A8" w:rsidRDefault="00407241" w:rsidP="007422A8">
      <w:pPr>
        <w:spacing w:after="0" w:line="240" w:lineRule="auto"/>
        <w:rPr>
          <w:rFonts w:ascii="Arial" w:eastAsia="Times New Roman" w:hAnsi="Arial" w:cs="Times New Roman"/>
          <w:b/>
          <w:szCs w:val="24"/>
        </w:rPr>
      </w:pPr>
      <w:r w:rsidRPr="00407241">
        <w:rPr>
          <w:rFonts w:ascii="Arial" w:eastAsia="Times New Roman" w:hAnsi="Arial" w:cs="Times New Roman"/>
          <w:b/>
          <w:sz w:val="24"/>
          <w:szCs w:val="24"/>
        </w:rPr>
        <w:t>COMMISSIONER FOR CONSUMER PROTECTION</w:t>
      </w:r>
    </w:p>
    <w:sectPr w:rsidR="001B044F" w:rsidRPr="007422A8" w:rsidSect="007422A8">
      <w:headerReference w:type="even" r:id="rId12"/>
      <w:headerReference w:type="default" r:id="rId13"/>
      <w:footerReference w:type="even" r:id="rId14"/>
      <w:footerReference w:type="default" r:id="rId15"/>
      <w:headerReference w:type="first" r:id="rId16"/>
      <w:footerReference w:type="first" r:id="rId17"/>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7F" w:rsidRDefault="0028097F" w:rsidP="00407241">
      <w:pPr>
        <w:spacing w:after="0" w:line="240" w:lineRule="auto"/>
      </w:pPr>
      <w:r>
        <w:separator/>
      </w:r>
    </w:p>
  </w:endnote>
  <w:endnote w:type="continuationSeparator" w:id="0">
    <w:p w:rsidR="0028097F" w:rsidRDefault="0028097F" w:rsidP="0040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41" w:rsidRDefault="004072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41" w:rsidRDefault="00407241" w:rsidP="00407241">
    <w:pPr>
      <w:pStyle w:val="Footer"/>
      <w:tabs>
        <w:tab w:val="right" w:pos="9639"/>
      </w:tabs>
      <w:ind w:left="-1134" w:right="-573"/>
      <w:jc w:val="right"/>
      <w:rPr>
        <w:sz w:val="18"/>
      </w:rPr>
    </w:pPr>
    <w:r w:rsidRPr="003B1854">
      <w:rPr>
        <w:sz w:val="18"/>
      </w:rPr>
      <w:t xml:space="preserve">Gordon Stephenson House </w:t>
    </w:r>
    <w:r>
      <w:rPr>
        <w:sz w:val="18"/>
      </w:rPr>
      <w:t>Level 2/</w:t>
    </w:r>
    <w:r w:rsidRPr="003B1854">
      <w:rPr>
        <w:sz w:val="18"/>
      </w:rPr>
      <w:t xml:space="preserve">140 William Street Perth Western Australia 6000 </w:t>
    </w:r>
  </w:p>
  <w:p w:rsidR="00407241" w:rsidRDefault="00407241" w:rsidP="00407241">
    <w:pPr>
      <w:pStyle w:val="Footer"/>
      <w:tabs>
        <w:tab w:val="right" w:pos="9639"/>
      </w:tabs>
      <w:ind w:left="-1134" w:right="-573"/>
      <w:jc w:val="right"/>
      <w:rPr>
        <w:sz w:val="18"/>
      </w:rPr>
    </w:pPr>
    <w:r w:rsidRPr="003B1854">
      <w:rPr>
        <w:sz w:val="18"/>
      </w:rPr>
      <w:t>Locked Bag 1</w:t>
    </w:r>
    <w:r>
      <w:rPr>
        <w:sz w:val="18"/>
      </w:rPr>
      <w:t>00</w:t>
    </w:r>
    <w:r w:rsidRPr="003B1854">
      <w:rPr>
        <w:sz w:val="18"/>
      </w:rPr>
      <w:t xml:space="preserve"> </w:t>
    </w:r>
    <w:r>
      <w:rPr>
        <w:sz w:val="18"/>
      </w:rPr>
      <w:t xml:space="preserve">East Perth </w:t>
    </w:r>
    <w:r w:rsidRPr="003B1854">
      <w:rPr>
        <w:sz w:val="18"/>
      </w:rPr>
      <w:t>WA 68</w:t>
    </w:r>
    <w:r>
      <w:rPr>
        <w:sz w:val="18"/>
      </w:rPr>
      <w:t>92</w:t>
    </w:r>
  </w:p>
  <w:p w:rsidR="00407241" w:rsidRDefault="00407241" w:rsidP="00407241">
    <w:pPr>
      <w:pStyle w:val="Footer"/>
      <w:tabs>
        <w:tab w:val="right" w:pos="9639"/>
      </w:tabs>
      <w:ind w:left="-567" w:right="-573"/>
      <w:jc w:val="right"/>
      <w:rPr>
        <w:sz w:val="18"/>
      </w:rPr>
    </w:pPr>
    <w:r>
      <w:rPr>
        <w:sz w:val="18"/>
      </w:rPr>
      <w:t xml:space="preserve"> Telephone Administration 1300 136 </w:t>
    </w:r>
    <w:proofErr w:type="gramStart"/>
    <w:r>
      <w:rPr>
        <w:sz w:val="18"/>
      </w:rPr>
      <w:t>237  Call</w:t>
    </w:r>
    <w:proofErr w:type="gramEnd"/>
    <w:r>
      <w:rPr>
        <w:sz w:val="18"/>
      </w:rPr>
      <w:t xml:space="preserve"> Centre 1300 304 054  Facsimile (08) 6251 1401</w:t>
    </w:r>
  </w:p>
  <w:p w:rsidR="00407241" w:rsidRDefault="00407241" w:rsidP="00407241">
    <w:pPr>
      <w:pStyle w:val="Footer"/>
      <w:tabs>
        <w:tab w:val="right" w:pos="9639"/>
      </w:tabs>
      <w:ind w:left="-567" w:right="-573"/>
      <w:jc w:val="right"/>
      <w:rPr>
        <w:sz w:val="18"/>
      </w:rPr>
    </w:pPr>
    <w:r>
      <w:rPr>
        <w:sz w:val="18"/>
      </w:rPr>
      <w:t xml:space="preserve">Email </w:t>
    </w:r>
    <w:proofErr w:type="gramStart"/>
    <w:r>
      <w:rPr>
        <w:sz w:val="18"/>
      </w:rPr>
      <w:t>consumer</w:t>
    </w:r>
    <w:r w:rsidRPr="003B1854">
      <w:rPr>
        <w:sz w:val="18"/>
      </w:rPr>
      <w:t>@</w:t>
    </w:r>
    <w:r>
      <w:rPr>
        <w:sz w:val="18"/>
      </w:rPr>
      <w:t>dmirs</w:t>
    </w:r>
    <w:r w:rsidRPr="003B1854">
      <w:rPr>
        <w:sz w:val="18"/>
      </w:rPr>
      <w:t>.wa.gov.au</w:t>
    </w:r>
    <w:r>
      <w:rPr>
        <w:sz w:val="18"/>
      </w:rPr>
      <w:t xml:space="preserve">  Internet</w:t>
    </w:r>
    <w:proofErr w:type="gramEnd"/>
    <w:r>
      <w:rPr>
        <w:sz w:val="18"/>
      </w:rPr>
      <w:t xml:space="preserve"> </w:t>
    </w:r>
    <w:r w:rsidRPr="000552A5">
      <w:rPr>
        <w:b/>
        <w:sz w:val="18"/>
      </w:rPr>
      <w:t>www.dmirs.wa.gov.au</w:t>
    </w:r>
  </w:p>
  <w:p w:rsidR="00407241" w:rsidRPr="007F0D2B" w:rsidRDefault="00407241" w:rsidP="00407241">
    <w:pPr>
      <w:pStyle w:val="Footer"/>
      <w:tabs>
        <w:tab w:val="right" w:pos="9639"/>
      </w:tabs>
      <w:ind w:left="-567" w:right="-573"/>
      <w:jc w:val="right"/>
      <w:rPr>
        <w:sz w:val="18"/>
      </w:rPr>
    </w:pPr>
    <w:r>
      <w:rPr>
        <w:sz w:val="18"/>
      </w:rPr>
      <w:t>wa.gov.au</w:t>
    </w:r>
  </w:p>
  <w:p w:rsidR="00407241" w:rsidRDefault="004072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41" w:rsidRDefault="004072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7F" w:rsidRDefault="0028097F" w:rsidP="00407241">
      <w:pPr>
        <w:spacing w:after="0" w:line="240" w:lineRule="auto"/>
      </w:pPr>
      <w:r>
        <w:separator/>
      </w:r>
    </w:p>
  </w:footnote>
  <w:footnote w:type="continuationSeparator" w:id="0">
    <w:p w:rsidR="0028097F" w:rsidRDefault="0028097F" w:rsidP="004072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41" w:rsidRPr="00407241" w:rsidRDefault="00407241" w:rsidP="00407241">
    <w:pPr>
      <w:pStyle w:val="Header"/>
      <w:tabs>
        <w:tab w:val="left" w:pos="915"/>
      </w:tabs>
      <w:jc w:val="center"/>
      <w:rPr>
        <w:rFonts w:ascii="Arial" w:hAnsi="Arial" w:cs="Arial"/>
        <w:sz w:val="20"/>
        <w:szCs w:val="20"/>
      </w:rPr>
    </w:pPr>
    <w:r w:rsidRPr="00407241">
      <w:rPr>
        <w:rFonts w:ascii="Arial" w:hAnsi="Arial" w:cs="Arial"/>
        <w:sz w:val="20"/>
        <w:szCs w:val="20"/>
      </w:rPr>
      <w:t>-2-</w:t>
    </w:r>
  </w:p>
  <w:p w:rsidR="00407241" w:rsidRDefault="004072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41" w:rsidRDefault="00407241">
    <w:pPr>
      <w:pStyle w:val="Header"/>
    </w:pPr>
    <w:r>
      <w:rPr>
        <w:noProof/>
        <w:lang w:val="en-US"/>
      </w:rPr>
      <w:drawing>
        <wp:anchor distT="0" distB="0" distL="114300" distR="114300" simplePos="0" relativeHeight="251659264" behindDoc="1" locked="0" layoutInCell="1" allowOverlap="1" wp14:anchorId="02CB0BAF" wp14:editId="428BF7AA">
          <wp:simplePos x="0" y="0"/>
          <wp:positionH relativeFrom="column">
            <wp:posOffset>-1162493</wp:posOffset>
          </wp:positionH>
          <wp:positionV relativeFrom="paragraph">
            <wp:posOffset>-764407</wp:posOffset>
          </wp:positionV>
          <wp:extent cx="5127625" cy="1800860"/>
          <wp:effectExtent l="0" t="0" r="0" b="8890"/>
          <wp:wrapNone/>
          <wp:docPr id="1" name="Picture 1" descr="GovLogo_DMIRS_Consumer Protection_Hi re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Logo_DMIRS_Consumer Protection_Hi res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762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41" w:rsidRDefault="00407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41"/>
    <w:rsid w:val="00010BEE"/>
    <w:rsid w:val="00084AE7"/>
    <w:rsid w:val="000F48E5"/>
    <w:rsid w:val="001B044F"/>
    <w:rsid w:val="001C52D7"/>
    <w:rsid w:val="001D1DC0"/>
    <w:rsid w:val="001D6750"/>
    <w:rsid w:val="00245FB8"/>
    <w:rsid w:val="002619F7"/>
    <w:rsid w:val="0028097F"/>
    <w:rsid w:val="00294400"/>
    <w:rsid w:val="003F70ED"/>
    <w:rsid w:val="00407241"/>
    <w:rsid w:val="0058247A"/>
    <w:rsid w:val="00700D0D"/>
    <w:rsid w:val="007422A8"/>
    <w:rsid w:val="0076024C"/>
    <w:rsid w:val="00926E18"/>
    <w:rsid w:val="00AC7AD9"/>
    <w:rsid w:val="00AF0A15"/>
    <w:rsid w:val="00B8202C"/>
    <w:rsid w:val="00B85255"/>
    <w:rsid w:val="00C52918"/>
    <w:rsid w:val="00C82EEA"/>
    <w:rsid w:val="00CD1E3E"/>
    <w:rsid w:val="00FF69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241"/>
  </w:style>
  <w:style w:type="paragraph" w:styleId="Footer">
    <w:name w:val="footer"/>
    <w:basedOn w:val="Normal"/>
    <w:link w:val="FooterChar"/>
    <w:uiPriority w:val="99"/>
    <w:unhideWhenUsed/>
    <w:rsid w:val="0040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241"/>
  </w:style>
  <w:style w:type="paragraph" w:styleId="BalloonText">
    <w:name w:val="Balloon Text"/>
    <w:basedOn w:val="Normal"/>
    <w:link w:val="BalloonTextChar"/>
    <w:uiPriority w:val="99"/>
    <w:semiHidden/>
    <w:unhideWhenUsed/>
    <w:rsid w:val="0026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F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241"/>
  </w:style>
  <w:style w:type="paragraph" w:styleId="Footer">
    <w:name w:val="footer"/>
    <w:basedOn w:val="Normal"/>
    <w:link w:val="FooterChar"/>
    <w:uiPriority w:val="99"/>
    <w:unhideWhenUsed/>
    <w:rsid w:val="0040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241"/>
  </w:style>
  <w:style w:type="paragraph" w:styleId="BalloonText">
    <w:name w:val="Balloon Text"/>
    <w:basedOn w:val="Normal"/>
    <w:link w:val="BalloonTextChar"/>
    <w:uiPriority w:val="99"/>
    <w:semiHidden/>
    <w:unhideWhenUsed/>
    <w:rsid w:val="0026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ductsafety.gov.au" TargetMode="External"/><Relationship Id="rId8" Type="http://schemas.openxmlformats.org/officeDocument/2006/relationships/hyperlink" Target="https://www.productsafety.gov.au/products/electronics-technology/button-batteries" TargetMode="External"/><Relationship Id="rId9" Type="http://schemas.openxmlformats.org/officeDocument/2006/relationships/hyperlink" Target="http://www.consumerprotection.wa.gov.au" TargetMode="External"/><Relationship Id="rId10" Type="http://schemas.openxmlformats.org/officeDocument/2006/relationships/hyperlink" Target="http://www.productsafety.gov.au/content/index.phtml/itemId/9965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Catherine</dc:creator>
  <cp:keywords/>
  <dc:description/>
  <cp:lastModifiedBy>Stuart  Walls</cp:lastModifiedBy>
  <cp:revision>2</cp:revision>
  <cp:lastPrinted>2019-05-16T06:52:00Z</cp:lastPrinted>
  <dcterms:created xsi:type="dcterms:W3CDTF">2019-05-20T00:42:00Z</dcterms:created>
  <dcterms:modified xsi:type="dcterms:W3CDTF">2019-05-20T00:42:00Z</dcterms:modified>
</cp:coreProperties>
</file>